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473FF" w14:textId="306AB0B5" w:rsidR="006D7862" w:rsidRPr="00E70E8C" w:rsidRDefault="005754E8">
      <w:pPr>
        <w:pStyle w:val="Normal1"/>
        <w:rPr>
          <w:rFonts w:eastAsia="Open Sans Semibold"/>
        </w:rPr>
      </w:pPr>
      <w:r w:rsidRPr="005754E8">
        <w:rPr>
          <w:rFonts w:eastAsia="Open Sans Semibold"/>
        </w:rPr>
        <w:t>FEUILLE DE TRAVAIL #2</w:t>
      </w:r>
      <w:bookmarkStart w:id="0" w:name="_GoBack"/>
      <w:bookmarkEnd w:id="0"/>
    </w:p>
    <w:p w14:paraId="2632C9EA" w14:textId="548B27FC" w:rsidR="006D7862" w:rsidRPr="00E70E8C" w:rsidRDefault="005754E8">
      <w:pPr>
        <w:pStyle w:val="Heading1"/>
        <w:spacing w:before="0"/>
        <w:rPr>
          <w:rFonts w:eastAsia="Open Sans"/>
        </w:rPr>
      </w:pPr>
      <w:bookmarkStart w:id="1" w:name="_ep7mo1mvd8y1" w:colFirst="0" w:colLast="0"/>
      <w:bookmarkEnd w:id="1"/>
      <w:r w:rsidRPr="005754E8">
        <w:rPr>
          <w:rFonts w:eastAsia="Open Sans"/>
        </w:rPr>
        <w:t xml:space="preserve">Le </w:t>
      </w:r>
      <w:proofErr w:type="spellStart"/>
      <w:r w:rsidRPr="005754E8">
        <w:rPr>
          <w:rFonts w:eastAsia="Open Sans"/>
        </w:rPr>
        <w:t>modèle</w:t>
      </w:r>
      <w:proofErr w:type="spellEnd"/>
      <w:r w:rsidRPr="005754E8">
        <w:rPr>
          <w:rFonts w:eastAsia="Open Sans"/>
        </w:rPr>
        <w:t xml:space="preserve"> </w:t>
      </w:r>
      <w:proofErr w:type="spellStart"/>
      <w:r w:rsidRPr="005754E8">
        <w:rPr>
          <w:rFonts w:eastAsia="Open Sans"/>
        </w:rPr>
        <w:t>logique</w:t>
      </w:r>
      <w:proofErr w:type="spellEnd"/>
      <w:r w:rsidRPr="005754E8">
        <w:rPr>
          <w:rFonts w:eastAsia="Open Sans"/>
        </w:rPr>
        <w:t xml:space="preserve"> (</w:t>
      </w:r>
      <w:proofErr w:type="spellStart"/>
      <w:r w:rsidRPr="005754E8">
        <w:rPr>
          <w:rFonts w:eastAsia="Open Sans"/>
        </w:rPr>
        <w:t>exemple</w:t>
      </w:r>
      <w:proofErr w:type="spellEnd"/>
      <w:r w:rsidRPr="005754E8">
        <w:rPr>
          <w:rFonts w:eastAsia="Open Sans"/>
        </w:rPr>
        <w:t xml:space="preserve"> </w:t>
      </w:r>
      <w:proofErr w:type="gramStart"/>
      <w:r w:rsidRPr="005754E8">
        <w:rPr>
          <w:rFonts w:eastAsia="Open Sans"/>
        </w:rPr>
        <w:t>et</w:t>
      </w:r>
      <w:proofErr w:type="gramEnd"/>
      <w:r w:rsidRPr="005754E8">
        <w:rPr>
          <w:rFonts w:eastAsia="Open Sans"/>
        </w:rPr>
        <w:t xml:space="preserve"> </w:t>
      </w:r>
      <w:proofErr w:type="spellStart"/>
      <w:r w:rsidRPr="005754E8">
        <w:rPr>
          <w:rFonts w:eastAsia="Open Sans"/>
        </w:rPr>
        <w:t>exercice</w:t>
      </w:r>
      <w:proofErr w:type="spellEnd"/>
      <w:r w:rsidRPr="005754E8">
        <w:rPr>
          <w:rFonts w:eastAsia="Open Sans"/>
        </w:rPr>
        <w:t>)</w:t>
      </w:r>
    </w:p>
    <w:p w14:paraId="0578EC67" w14:textId="4965F422" w:rsidR="006D7862" w:rsidRPr="0095406C" w:rsidRDefault="00BF5204">
      <w:pPr>
        <w:pStyle w:val="Normal1"/>
        <w:rPr>
          <w:rFonts w:eastAsia="Open Sans"/>
          <w:lang w:val="en-US"/>
        </w:rPr>
      </w:pPr>
      <w:r>
        <w:rPr>
          <w:rFonts w:eastAsia="Open Sans"/>
        </w:rPr>
        <w:br/>
      </w:r>
      <w:r w:rsidR="005754E8" w:rsidRPr="005754E8">
        <w:rPr>
          <w:rFonts w:eastAsia="Open Sans"/>
          <w:lang w:val="en-US"/>
        </w:rPr>
        <w:t xml:space="preserve">Buts du service </w:t>
      </w:r>
      <w:proofErr w:type="spellStart"/>
      <w:r w:rsidR="005754E8" w:rsidRPr="005754E8">
        <w:rPr>
          <w:rFonts w:eastAsia="Open Sans"/>
          <w:lang w:val="en-US"/>
        </w:rPr>
        <w:t>ou</w:t>
      </w:r>
      <w:proofErr w:type="spellEnd"/>
      <w:r w:rsidR="005754E8" w:rsidRPr="005754E8">
        <w:rPr>
          <w:rFonts w:eastAsia="Open Sans"/>
          <w:lang w:val="en-US"/>
        </w:rPr>
        <w:t xml:space="preserve"> du </w:t>
      </w:r>
      <w:proofErr w:type="spellStart"/>
      <w:proofErr w:type="gramStart"/>
      <w:r w:rsidR="005754E8" w:rsidRPr="005754E8">
        <w:rPr>
          <w:rFonts w:eastAsia="Open Sans"/>
          <w:lang w:val="en-US"/>
        </w:rPr>
        <w:t>programme</w:t>
      </w:r>
      <w:proofErr w:type="spellEnd"/>
      <w:r w:rsidR="005754E8" w:rsidRPr="005754E8">
        <w:rPr>
          <w:rFonts w:eastAsia="Open Sans"/>
          <w:lang w:val="en-US"/>
        </w:rPr>
        <w:t xml:space="preserve"> :</w:t>
      </w:r>
      <w:proofErr w:type="gramEnd"/>
      <w:r>
        <w:rPr>
          <w:rFonts w:eastAsia="Open Sans"/>
        </w:rPr>
        <w:br/>
      </w:r>
    </w:p>
    <w:tbl>
      <w:tblPr>
        <w:tblStyle w:val="a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6D7862" w:rsidRPr="00E70E8C" w14:paraId="4A1C0C48" w14:textId="77777777" w:rsidTr="00E70E8C">
        <w:trPr>
          <w:trHeight w:val="1701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7E83" w14:textId="1AFB6BFA" w:rsidR="00BF5204" w:rsidRDefault="005754E8" w:rsidP="00BF5204">
            <w:pPr>
              <w:pStyle w:val="Normal1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proofErr w:type="gramStart"/>
            <w:r w:rsidRPr="005754E8">
              <w:rPr>
                <w:rFonts w:eastAsia="Open Sans"/>
                <w:b/>
                <w:i/>
                <w:sz w:val="20"/>
                <w:szCs w:val="20"/>
              </w:rPr>
              <w:t>Exemple</w:t>
            </w:r>
            <w:proofErr w:type="spellEnd"/>
            <w:r w:rsidRPr="005754E8">
              <w:rPr>
                <w:rFonts w:eastAsia="Open Sans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="00BF5204" w:rsidRPr="00BF5204">
              <w:rPr>
                <w:rFonts w:eastAsia="Open Sans"/>
                <w:sz w:val="20"/>
                <w:szCs w:val="20"/>
              </w:rPr>
              <w:t xml:space="preserve"> </w:t>
            </w:r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Le bureau de santé et de counseling de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l’Université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Jeffers a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mis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sur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pied un service de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soutien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offert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des pairs de la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communauté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étudiante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qui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ont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reçu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une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formation en collaboration avec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l’Association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canadienne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pour la santé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mentale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Ce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service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est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en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fonction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24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heures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jour, 7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jours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semaine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Voici le but de ce projet 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:</w:t>
            </w:r>
          </w:p>
          <w:p w14:paraId="0DE84C27" w14:textId="77777777" w:rsidR="00BF5204" w:rsidRPr="00BF5204" w:rsidRDefault="00BF5204" w:rsidP="00BF5204">
            <w:pPr>
              <w:pStyle w:val="Normal1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</w:p>
          <w:p w14:paraId="5A74E2F8" w14:textId="30462DB1" w:rsidR="00BF5204" w:rsidRPr="00BF5204" w:rsidRDefault="005754E8" w:rsidP="00BF5204">
            <w:pPr>
              <w:pStyle w:val="Normal1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Augmenter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l’accès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aux services de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soutien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rapport aux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problématiques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de santé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mentale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et de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dépendance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sur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le campus en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offrant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la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possibilité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de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rencontrer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des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étudiants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et des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étudiantes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formés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en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ce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sens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24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heures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jour, 7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jours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par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semaine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dans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des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endroits</w:t>
            </w:r>
            <w:proofErr w:type="spellEnd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pratique</w:t>
            </w:r>
            <w:r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s</w:t>
            </w:r>
            <w:proofErr w:type="spellEnd"/>
            <w:r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pour la population </w:t>
            </w:r>
            <w:proofErr w:type="spellStart"/>
            <w:r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étudiante</w:t>
            </w:r>
            <w:proofErr w:type="spellEnd"/>
            <w:r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.</w:t>
            </w:r>
            <w:r w:rsidR="00BF5204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br/>
            </w:r>
          </w:p>
          <w:p w14:paraId="23035B8F" w14:textId="7674AC91" w:rsidR="006D7862" w:rsidRPr="0095406C" w:rsidRDefault="005754E8" w:rsidP="00BF5204">
            <w:pPr>
              <w:pStyle w:val="Normal1"/>
              <w:widowControl w:val="0"/>
              <w:rPr>
                <w:rFonts w:eastAsia="Open Sans"/>
                <w:b/>
              </w:rPr>
            </w:pPr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[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Quels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pourraient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être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les 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autres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buts de 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ce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projet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?</w:t>
            </w:r>
            <w:proofErr w:type="gram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Comment les </w:t>
            </w:r>
            <w:proofErr w:type="spell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formuleriez-</w:t>
            </w:r>
            <w:proofErr w:type="gramStart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vous</w:t>
            </w:r>
            <w:proofErr w:type="spellEnd"/>
            <w:r w:rsidRPr="005754E8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 xml:space="preserve"> ?]</w:t>
            </w:r>
            <w:proofErr w:type="gramEnd"/>
          </w:p>
          <w:p w14:paraId="0B11EF75" w14:textId="12BF92F1" w:rsidR="00BF5204" w:rsidRPr="00E70E8C" w:rsidRDefault="00BF5204" w:rsidP="00BF5204">
            <w:pPr>
              <w:pStyle w:val="Normal1"/>
              <w:widowControl w:val="0"/>
              <w:rPr>
                <w:rFonts w:eastAsia="Open Sans"/>
              </w:rPr>
            </w:pPr>
          </w:p>
        </w:tc>
      </w:tr>
    </w:tbl>
    <w:p w14:paraId="31100983" w14:textId="79B7EEBF" w:rsidR="00BF5204" w:rsidRDefault="00BF5204">
      <w:pPr>
        <w:pStyle w:val="Normal1"/>
      </w:pPr>
    </w:p>
    <w:p w14:paraId="204F1F55" w14:textId="77777777" w:rsidR="00BF5204" w:rsidRDefault="00BF5204">
      <w:r>
        <w:br w:type="page"/>
      </w:r>
    </w:p>
    <w:p w14:paraId="0AB9171A" w14:textId="77777777" w:rsidR="006D7862" w:rsidRPr="00E70E8C" w:rsidRDefault="006D7862">
      <w:pPr>
        <w:pStyle w:val="Normal1"/>
      </w:pPr>
    </w:p>
    <w:tbl>
      <w:tblPr>
        <w:tblStyle w:val="a0"/>
        <w:tblW w:w="13567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8"/>
        <w:gridCol w:w="222"/>
        <w:gridCol w:w="2308"/>
        <w:gridCol w:w="425"/>
        <w:gridCol w:w="2369"/>
        <w:gridCol w:w="220"/>
        <w:gridCol w:w="221"/>
        <w:gridCol w:w="2613"/>
        <w:gridCol w:w="221"/>
        <w:gridCol w:w="2720"/>
      </w:tblGrid>
      <w:tr w:rsidR="007B0277" w:rsidRPr="00E70E8C" w14:paraId="4F8EBEBE" w14:textId="77777777" w:rsidTr="007B0277">
        <w:trPr>
          <w:trHeight w:val="314"/>
        </w:trPr>
        <w:tc>
          <w:tcPr>
            <w:tcW w:w="22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4F49BAE2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7EE479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734" w14:textId="0E739099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12D4A23" w14:textId="77777777" w:rsidR="007B0277" w:rsidRPr="00E70E8C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</w:tcPr>
          <w:p w14:paraId="2960BAD1" w14:textId="77777777" w:rsid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3D55" w14:textId="2C612495" w:rsidR="007B0277" w:rsidRPr="00E70E8C" w:rsidRDefault="000804AC" w:rsidP="0095406C">
            <w:pPr>
              <w:pStyle w:val="Normal1"/>
              <w:widowControl w:val="0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  <w:r w:rsidRPr="000804AC">
              <w:rPr>
                <w:rFonts w:eastAsia="Open Sans"/>
                <w:b/>
                <w:color w:val="FFFFFF"/>
                <w:sz w:val="21"/>
                <w:szCs w:val="21"/>
              </w:rPr>
              <w:t>RÉSULTATS</w:t>
            </w:r>
            <w:r w:rsidR="0095406C">
              <w:rPr>
                <w:rFonts w:eastAsia="Open Sans"/>
                <w:b/>
                <w:color w:val="FFFFFF"/>
                <w:sz w:val="21"/>
                <w:szCs w:val="21"/>
              </w:rPr>
              <w:br/>
            </w:r>
            <w:r w:rsidR="007657DB" w:rsidRPr="007657DB">
              <w:rPr>
                <w:rFonts w:eastAsia="Open Sans"/>
                <w:color w:val="FFFFFF"/>
                <w:sz w:val="18"/>
                <w:szCs w:val="18"/>
              </w:rPr>
              <w:t xml:space="preserve">Court </w:t>
            </w:r>
            <w:proofErr w:type="spellStart"/>
            <w:r w:rsidR="007657DB" w:rsidRPr="007657DB">
              <w:rPr>
                <w:rFonts w:eastAsia="Open Sans"/>
                <w:color w:val="FFFFFF"/>
                <w:sz w:val="18"/>
                <w:szCs w:val="18"/>
              </w:rPr>
              <w:t>terme</w:t>
            </w:r>
            <w:proofErr w:type="spellEnd"/>
            <w:r w:rsidR="007657DB" w:rsidRPr="007657DB">
              <w:rPr>
                <w:rFonts w:eastAsia="Open Sans"/>
                <w:color w:val="FFFFFF"/>
                <w:sz w:val="18"/>
                <w:szCs w:val="18"/>
              </w:rPr>
              <w:t xml:space="preserve"> (1-2 </w:t>
            </w:r>
            <w:proofErr w:type="spellStart"/>
            <w:r w:rsidR="007657DB" w:rsidRPr="007657DB">
              <w:rPr>
                <w:rFonts w:eastAsia="Open Sans"/>
                <w:color w:val="FFFFFF"/>
                <w:sz w:val="18"/>
                <w:szCs w:val="18"/>
              </w:rPr>
              <w:t>ans</w:t>
            </w:r>
            <w:proofErr w:type="spellEnd"/>
            <w:r w:rsidR="007657DB" w:rsidRPr="007657DB">
              <w:rPr>
                <w:rFonts w:eastAsia="Open Sans"/>
                <w:color w:val="FFFFFF"/>
                <w:sz w:val="18"/>
                <w:szCs w:val="18"/>
              </w:rPr>
              <w:t>)</w:t>
            </w:r>
            <w:r w:rsidR="0095406C" w:rsidRPr="0095406C">
              <w:rPr>
                <w:rFonts w:eastAsia="Open Sans"/>
                <w:color w:val="FFFFFF"/>
                <w:sz w:val="18"/>
                <w:szCs w:val="18"/>
              </w:rPr>
              <w:t>,</w:t>
            </w:r>
            <w:r>
              <w:rPr>
                <w:rFonts w:eastAsia="Open Sans"/>
                <w:color w:val="FFFFFF"/>
                <w:sz w:val="18"/>
                <w:szCs w:val="18"/>
              </w:rPr>
              <w:t xml:space="preserve"> </w:t>
            </w:r>
            <w:r w:rsidR="0095406C" w:rsidRPr="0095406C">
              <w:rPr>
                <w:rFonts w:eastAsia="Open Sans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804AC">
              <w:rPr>
                <w:rFonts w:eastAsia="Open Sans"/>
                <w:color w:val="FFFFFF"/>
                <w:sz w:val="18"/>
                <w:szCs w:val="18"/>
              </w:rPr>
              <w:t>Moyen</w:t>
            </w:r>
            <w:proofErr w:type="spellEnd"/>
            <w:r w:rsidRPr="000804AC">
              <w:rPr>
                <w:rFonts w:eastAsia="Open Sans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804AC">
              <w:rPr>
                <w:rFonts w:eastAsia="Open Sans"/>
                <w:color w:val="FFFFFF"/>
                <w:sz w:val="18"/>
                <w:szCs w:val="18"/>
              </w:rPr>
              <w:t>terme</w:t>
            </w:r>
            <w:proofErr w:type="spellEnd"/>
            <w:r w:rsidRPr="000804AC">
              <w:rPr>
                <w:rFonts w:eastAsia="Open Sans"/>
                <w:color w:val="FFFFFF"/>
                <w:sz w:val="18"/>
                <w:szCs w:val="18"/>
              </w:rPr>
              <w:t xml:space="preserve"> (2-3 </w:t>
            </w:r>
            <w:proofErr w:type="spellStart"/>
            <w:r w:rsidRPr="000804AC">
              <w:rPr>
                <w:rFonts w:eastAsia="Open Sans"/>
                <w:color w:val="FFFFFF"/>
                <w:sz w:val="18"/>
                <w:szCs w:val="18"/>
              </w:rPr>
              <w:t>ans</w:t>
            </w:r>
            <w:proofErr w:type="spellEnd"/>
            <w:r w:rsidRPr="000804AC">
              <w:rPr>
                <w:rFonts w:eastAsia="Open Sans"/>
                <w:color w:val="FFFFFF"/>
                <w:sz w:val="18"/>
                <w:szCs w:val="18"/>
              </w:rPr>
              <w:t>)</w:t>
            </w:r>
            <w:r w:rsidR="0095406C" w:rsidRPr="0095406C">
              <w:rPr>
                <w:rFonts w:eastAsia="Open Sans"/>
                <w:color w:val="FFFFFF"/>
                <w:sz w:val="18"/>
                <w:szCs w:val="18"/>
              </w:rPr>
              <w:t xml:space="preserve">, </w:t>
            </w:r>
            <w:r w:rsidRPr="000804AC">
              <w:rPr>
                <w:rFonts w:eastAsia="Open Sans"/>
                <w:color w:val="FFFFFF"/>
                <w:sz w:val="18"/>
                <w:szCs w:val="18"/>
              </w:rPr>
              <w:t xml:space="preserve">Long </w:t>
            </w:r>
            <w:proofErr w:type="spellStart"/>
            <w:r w:rsidRPr="000804AC">
              <w:rPr>
                <w:rFonts w:eastAsia="Open Sans"/>
                <w:color w:val="FFFFFF"/>
                <w:sz w:val="18"/>
                <w:szCs w:val="18"/>
              </w:rPr>
              <w:t>terme</w:t>
            </w:r>
            <w:proofErr w:type="spellEnd"/>
            <w:r w:rsidRPr="000804AC">
              <w:rPr>
                <w:rFonts w:eastAsia="Open Sans"/>
                <w:color w:val="FFFFFF"/>
                <w:sz w:val="18"/>
                <w:szCs w:val="18"/>
              </w:rPr>
              <w:t xml:space="preserve"> (3 </w:t>
            </w:r>
            <w:proofErr w:type="spellStart"/>
            <w:r w:rsidRPr="000804AC">
              <w:rPr>
                <w:rFonts w:eastAsia="Open Sans"/>
                <w:color w:val="FFFFFF"/>
                <w:sz w:val="18"/>
                <w:szCs w:val="18"/>
              </w:rPr>
              <w:t>ans</w:t>
            </w:r>
            <w:proofErr w:type="spellEnd"/>
            <w:r w:rsidRPr="000804AC">
              <w:rPr>
                <w:rFonts w:eastAsia="Open Sans"/>
                <w:color w:val="FFFFFF"/>
                <w:sz w:val="18"/>
                <w:szCs w:val="18"/>
              </w:rPr>
              <w:t xml:space="preserve"> et plus)</w:t>
            </w:r>
          </w:p>
        </w:tc>
      </w:tr>
      <w:tr w:rsidR="007B0277" w:rsidRPr="00E70E8C" w14:paraId="7203E77F" w14:textId="77777777" w:rsidTr="0010185A">
        <w:tc>
          <w:tcPr>
            <w:tcW w:w="224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5ED3" w14:textId="77777777" w:rsidR="007657DB" w:rsidRDefault="007657DB" w:rsidP="007657DB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Ressources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</w:p>
          <w:p w14:paraId="32386933" w14:textId="1A00B4E6" w:rsidR="007B0277" w:rsidRPr="007B0277" w:rsidRDefault="007657DB" w:rsidP="007657DB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ou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intrants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288BC4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A78E" w14:textId="5E536CB0" w:rsidR="007B0277" w:rsidRPr="007B0277" w:rsidRDefault="007657DB" w:rsidP="007529D3">
            <w:pPr>
              <w:pStyle w:val="Normal1"/>
              <w:widowControl w:val="0"/>
              <w:tabs>
                <w:tab w:val="right" w:pos="2473"/>
              </w:tabs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Activités</w:t>
            </w:r>
            <w:proofErr w:type="spellEnd"/>
            <w:r w:rsidR="007B0277" w:rsidRPr="007B0277">
              <w:rPr>
                <w:rFonts w:eastAsia="Open Sans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736706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6756" w14:textId="77777777" w:rsidR="007657DB" w:rsidRDefault="007657DB" w:rsidP="007657DB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Produits</w:t>
            </w:r>
            <w:proofErr w:type="spellEnd"/>
          </w:p>
          <w:p w14:paraId="3FD6EC1F" w14:textId="0CA31F8B" w:rsidR="007B0277" w:rsidRPr="007B0277" w:rsidRDefault="007657DB" w:rsidP="007657DB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(</w:t>
            </w: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ou</w:t>
            </w:r>
            <w:proofErr w:type="spellEnd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extrants</w:t>
            </w:r>
            <w:proofErr w:type="spellEnd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28A5C4" w14:textId="77777777" w:rsidR="007B0277" w:rsidRP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C91" w14:textId="1644E3DB" w:rsidR="007B0277" w:rsidRPr="007B0277" w:rsidRDefault="007657DB" w:rsidP="0095406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 xml:space="preserve"> à court </w:t>
            </w: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terme</w:t>
            </w:r>
            <w:proofErr w:type="spellEnd"/>
          </w:p>
        </w:tc>
        <w:tc>
          <w:tcPr>
            <w:tcW w:w="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51DF6E7" w14:textId="77777777" w:rsidR="007B0277" w:rsidRP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7F34" w14:textId="23D6FBE4" w:rsidR="007B0277" w:rsidRPr="007B0277" w:rsidRDefault="007657DB" w:rsidP="0095406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 xml:space="preserve"> à long </w:t>
            </w:r>
            <w:proofErr w:type="spellStart"/>
            <w:r w:rsidRPr="007657DB">
              <w:rPr>
                <w:rFonts w:eastAsia="Open Sans"/>
                <w:b/>
                <w:color w:val="FFFFFF"/>
                <w:sz w:val="18"/>
                <w:szCs w:val="18"/>
              </w:rPr>
              <w:t>terme</w:t>
            </w:r>
            <w:proofErr w:type="spellEnd"/>
          </w:p>
        </w:tc>
      </w:tr>
      <w:tr w:rsidR="007B0277" w:rsidRPr="00E70E8C" w14:paraId="18C3921B" w14:textId="77777777" w:rsidTr="0010185A">
        <w:trPr>
          <w:trHeight w:val="1040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BC6" w14:textId="21D74742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</w:rPr>
              <w:t>Financement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</w:rPr>
              <w:t>ou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</w:rPr>
              <w:t xml:space="preserve"> engagement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</w:rPr>
              <w:t>bailleurs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</w:rPr>
              <w:t xml:space="preserve"> de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</w:rPr>
              <w:t>fonds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5CF7C" w14:textId="77777777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27DD" w14:textId="4337B500" w:rsidR="00BF5204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Recrutement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pairs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aidants</w:t>
            </w:r>
            <w:proofErr w:type="spellEnd"/>
            <w:r w:rsidR="00BF5204" w:rsidRPr="00885EB7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  <w:p w14:paraId="676D188F" w14:textId="77777777" w:rsidR="00BF5204" w:rsidRPr="00885EB7" w:rsidRDefault="00BF5204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5DD5CFF7" w14:textId="576179F2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839473F" w14:textId="4BF0637C" w:rsidR="007B0277" w:rsidRPr="0010185A" w:rsidRDefault="0010185A" w:rsidP="0010185A">
            <w:pPr>
              <w:pStyle w:val="Normal1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23C0" w14:textId="2FE852D9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Nombre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pairs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recrutés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63E258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19A" w14:textId="5528A969" w:rsidR="007B0277" w:rsidRPr="00885EB7" w:rsidRDefault="007657DB">
            <w:pPr>
              <w:pStyle w:val="Normal1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Diminution du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niveau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d’anxiété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chez les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les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utilisent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le service</w:t>
            </w: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324F6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3DAA" w14:textId="2722554C" w:rsidR="007B0277" w:rsidRPr="00E70E8C" w:rsidRDefault="007657D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Meilleure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résilience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en situation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stressante</w:t>
            </w:r>
            <w:proofErr w:type="spellEnd"/>
          </w:p>
        </w:tc>
      </w:tr>
      <w:tr w:rsidR="007B0277" w:rsidRPr="00E70E8C" w14:paraId="1FA8FA33" w14:textId="77777777" w:rsidTr="0010185A">
        <w:trPr>
          <w:trHeight w:val="1044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C64A" w14:textId="3E397488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Personnel et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connaissances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spécialisées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BCC5E" w14:textId="77777777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F090" w14:textId="2E65E7A7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Formation des pairs à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l’aide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matériel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sur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mesure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6DC5D715" w14:textId="721D60B8" w:rsidR="007B0277" w:rsidRPr="00E70E8C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A9EB" w14:textId="40A6231A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Nombre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documents de formation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produits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AD51CE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5B8A" w14:textId="32FB6A6E" w:rsidR="007B0277" w:rsidRPr="00885EB7" w:rsidRDefault="007657DB">
            <w:pPr>
              <w:pStyle w:val="Normal1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Meilleure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gestion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du temps </w:t>
            </w: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AE682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7555" w14:textId="750F5C20" w:rsidR="007B0277" w:rsidRPr="00E70E8C" w:rsidRDefault="007657D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Plus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grande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confiance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étudiantes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par rapport à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leur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succès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scolaire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à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l’atteinte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leurs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buts.</w:t>
            </w:r>
          </w:p>
        </w:tc>
      </w:tr>
      <w:tr w:rsidR="007B0277" w:rsidRPr="00E70E8C" w14:paraId="6F00C3CB" w14:textId="77777777" w:rsidTr="0010185A">
        <w:trPr>
          <w:trHeight w:val="106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279" w14:textId="47AB5D61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Local et installations</w:t>
            </w: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40B6D" w14:textId="77777777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24E" w14:textId="06052B1F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Fournir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le service de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soutien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par les pairs 24h – 7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jours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téléphone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ou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personne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E6DDEFD" w14:textId="6C146E40" w:rsidR="007B0277" w:rsidRPr="00E70E8C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3C88" w14:textId="60486C0E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Nombre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 pairs qui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ont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suivi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la formation 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1FA2CA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1136" w14:textId="2CE8A9FA" w:rsidR="007B0277" w:rsidRPr="00885EB7" w:rsidRDefault="007657DB">
            <w:pPr>
              <w:pStyle w:val="Normal1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Développement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habiletés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meilleure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connaissance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des pairs entre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eux</w:t>
            </w:r>
            <w:proofErr w:type="spellEnd"/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A5069F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1C5C" w14:textId="7759EB4E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7D7EC492" w14:textId="77777777" w:rsidTr="0010185A">
        <w:trPr>
          <w:trHeight w:val="105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2CD" w14:textId="77777777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37649" w14:textId="77777777" w:rsidR="007B0277" w:rsidRPr="00885EB7" w:rsidRDefault="007B0277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0C2" w14:textId="6662FE8C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Donner des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renseignements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diriger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clientèle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vers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ressources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appropriées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C2834DF" w14:textId="66D66D62" w:rsidR="007B0277" w:rsidRPr="00885EB7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885EB7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BD4" w14:textId="40FEF45B" w:rsidR="007B0277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Nombre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d’étudiants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d’étudiantes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ont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utilisé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le service (en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personne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ou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téléphone</w:t>
            </w:r>
            <w:proofErr w:type="spellEnd"/>
            <w:r w:rsidRPr="007657DB">
              <w:rPr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3F9AA46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5D8C" w14:textId="64B52281" w:rsidR="007B0277" w:rsidRPr="00885EB7" w:rsidRDefault="007B0277">
            <w:pPr>
              <w:pStyle w:val="Normal1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21693D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587" w14:textId="08FBE233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5204" w:rsidRPr="00E70E8C" w14:paraId="6D152FF0" w14:textId="77777777" w:rsidTr="0010185A">
        <w:trPr>
          <w:trHeight w:val="105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ACBC" w14:textId="48EDE409" w:rsidR="00BF5204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Quelles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pourraient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être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autres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ressources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ou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intrants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projet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47CBD" w14:textId="77777777" w:rsidR="00BF5204" w:rsidRPr="00885EB7" w:rsidRDefault="00BF5204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6DAF" w14:textId="27E6ED3E" w:rsidR="00BF5204" w:rsidRPr="00885EB7" w:rsidRDefault="007657DB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Quelles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autres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activités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pourraient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être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réalisées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dans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le cadre de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projet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?]</w:t>
            </w:r>
            <w:proofErr w:type="gramEnd"/>
          </w:p>
          <w:p w14:paraId="6F2253B2" w14:textId="77777777" w:rsidR="00BF5204" w:rsidRPr="00885EB7" w:rsidRDefault="00BF5204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12F1C93B" w14:textId="767EB56A" w:rsidR="00BF5204" w:rsidRPr="0010185A" w:rsidRDefault="00BF5204" w:rsidP="0010185A">
            <w:pPr>
              <w:pStyle w:val="Normal1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8E23" w14:textId="1A767CEB" w:rsidR="00885EB7" w:rsidRPr="00885EB7" w:rsidRDefault="007657DB" w:rsidP="00885EB7">
            <w:pPr>
              <w:pStyle w:val="Normal1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Quels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autres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produits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pourrait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avoir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genre de </w:t>
            </w:r>
            <w:proofErr w:type="gram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service ?]</w:t>
            </w:r>
            <w:proofErr w:type="gramEnd"/>
          </w:p>
          <w:p w14:paraId="60C18FC2" w14:textId="77777777" w:rsidR="00BF5204" w:rsidRPr="00885EB7" w:rsidRDefault="00BF5204" w:rsidP="00885EB7">
            <w:pPr>
              <w:pStyle w:val="Normal1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B4EF92" w14:textId="77777777" w:rsidR="00BF5204" w:rsidRPr="007B0277" w:rsidRDefault="00BF520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6AB8" w14:textId="1773AE6F" w:rsidR="00885EB7" w:rsidRPr="00885EB7" w:rsidRDefault="007657DB" w:rsidP="00885EB7">
            <w:pPr>
              <w:pStyle w:val="Normal1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Quels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autres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résultats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à court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terme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pourrait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avoir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genre de </w:t>
            </w:r>
            <w:proofErr w:type="gram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service ?]</w:t>
            </w:r>
            <w:proofErr w:type="gramEnd"/>
          </w:p>
          <w:p w14:paraId="4457BC09" w14:textId="77777777" w:rsidR="00BF5204" w:rsidRPr="00E70E8C" w:rsidRDefault="00BF520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572D1" w14:textId="77777777" w:rsidR="00BF5204" w:rsidRPr="00E70E8C" w:rsidRDefault="00BF520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BC0E" w14:textId="0367B2CF" w:rsidR="00BF5204" w:rsidRPr="007657DB" w:rsidRDefault="007657DB">
            <w:pPr>
              <w:pStyle w:val="Normal1"/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Quels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autres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résultats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à long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terme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pourrait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avoir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genre de </w:t>
            </w:r>
            <w:proofErr w:type="gramStart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service ?</w:t>
            </w:r>
            <w:proofErr w:type="gramEnd"/>
            <w:r w:rsidRPr="007657DB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]</w:t>
            </w:r>
          </w:p>
        </w:tc>
      </w:tr>
    </w:tbl>
    <w:p w14:paraId="119C7A11" w14:textId="77777777" w:rsidR="006D7862" w:rsidRPr="00E70E8C" w:rsidRDefault="006D7862">
      <w:pPr>
        <w:pStyle w:val="Normal1"/>
        <w:rPr>
          <w:rFonts w:eastAsia="Open Sans"/>
        </w:rPr>
      </w:pPr>
    </w:p>
    <w:sectPr w:rsidR="006D7862" w:rsidRPr="00E70E8C" w:rsidSect="00315C27">
      <w:headerReference w:type="default" r:id="rId7"/>
      <w:footerReference w:type="default" r:id="rId8"/>
      <w:pgSz w:w="15840" w:h="12240" w:orient="landscape"/>
      <w:pgMar w:top="964" w:right="1440" w:bottom="107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BA1E" w14:textId="77777777" w:rsidR="007B3965" w:rsidRDefault="007B3965">
      <w:pPr>
        <w:spacing w:line="240" w:lineRule="auto"/>
      </w:pPr>
      <w:r>
        <w:separator/>
      </w:r>
    </w:p>
  </w:endnote>
  <w:endnote w:type="continuationSeparator" w:id="0">
    <w:p w14:paraId="5838A8EB" w14:textId="77777777" w:rsidR="007B3965" w:rsidRDefault="007B3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F058" w14:textId="57E6CC52" w:rsidR="00BF5204" w:rsidRDefault="00BF5204">
    <w:pPr>
      <w:pStyle w:val="Normal1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April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0804AC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0804AC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9FC26" w14:textId="77777777" w:rsidR="007B3965" w:rsidRDefault="007B3965">
      <w:pPr>
        <w:spacing w:line="240" w:lineRule="auto"/>
      </w:pPr>
      <w:r>
        <w:separator/>
      </w:r>
    </w:p>
  </w:footnote>
  <w:footnote w:type="continuationSeparator" w:id="0">
    <w:p w14:paraId="4DEA23A8" w14:textId="77777777" w:rsidR="007B3965" w:rsidRDefault="007B3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E9DA" w14:textId="77777777" w:rsidR="00BF5204" w:rsidRDefault="00BF5204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BF5204" w14:paraId="06F0722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C628AF" w14:textId="77777777" w:rsidR="00BF5204" w:rsidRDefault="00BF520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4C872744" wp14:editId="77FA3A69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313AF45" w14:textId="77777777" w:rsidR="00BF5204" w:rsidRDefault="00BF5204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37C0E9" w14:textId="77777777" w:rsidR="00BF5204" w:rsidRDefault="00BF520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559FBEC3" wp14:editId="6C6618FA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571A67" w14:textId="30257220" w:rsidR="00BF5204" w:rsidRDefault="00BF5204" w:rsidP="00315C27">
    <w:pPr>
      <w:pStyle w:val="Normal1"/>
      <w:tabs>
        <w:tab w:val="left" w:pos="1800"/>
      </w:tabs>
      <w:spacing w:line="240" w:lineRule="auto"/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862"/>
    <w:rsid w:val="00013DBD"/>
    <w:rsid w:val="000804AC"/>
    <w:rsid w:val="0010185A"/>
    <w:rsid w:val="00315C27"/>
    <w:rsid w:val="005754E8"/>
    <w:rsid w:val="006D7862"/>
    <w:rsid w:val="007529D3"/>
    <w:rsid w:val="007657DB"/>
    <w:rsid w:val="007B0277"/>
    <w:rsid w:val="007B3965"/>
    <w:rsid w:val="00885EB7"/>
    <w:rsid w:val="0095406C"/>
    <w:rsid w:val="00AD4A0F"/>
    <w:rsid w:val="00BF5204"/>
    <w:rsid w:val="00D7639D"/>
    <w:rsid w:val="00E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20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  <w:style w:type="paragraph" w:styleId="ListParagraph">
    <w:name w:val="List Paragraph"/>
    <w:basedOn w:val="Normal"/>
    <w:uiPriority w:val="34"/>
    <w:qFormat/>
    <w:rsid w:val="00BF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  <w:style w:type="paragraph" w:styleId="ListParagraph">
    <w:name w:val="List Paragraph"/>
    <w:basedOn w:val="Normal"/>
    <w:uiPriority w:val="34"/>
    <w:qFormat/>
    <w:rsid w:val="00BF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5</cp:revision>
  <cp:lastPrinted>2018-04-17T18:26:00Z</cp:lastPrinted>
  <dcterms:created xsi:type="dcterms:W3CDTF">2018-04-24T14:28:00Z</dcterms:created>
  <dcterms:modified xsi:type="dcterms:W3CDTF">2018-05-13T12:09:00Z</dcterms:modified>
</cp:coreProperties>
</file>