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8" w:lineRule="auto" w:before="96"/>
        <w:ind w:left="130" w:right="1738" w:firstLine="0"/>
        <w:jc w:val="left"/>
        <w:rPr>
          <w:b/>
          <w:sz w:val="42"/>
        </w:rPr>
      </w:pPr>
      <w:r>
        <w:rPr>
          <w:b/>
          <w:color w:val="4A4A4C"/>
          <w:sz w:val="42"/>
        </w:rPr>
        <w:t>Annexe E : Aperçu de la formation</w:t>
      </w:r>
      <w:r>
        <w:rPr>
          <w:b/>
          <w:color w:val="4A4A4C"/>
          <w:spacing w:val="-62"/>
          <w:sz w:val="42"/>
        </w:rPr>
        <w:t> </w:t>
      </w:r>
      <w:r>
        <w:rPr>
          <w:b/>
          <w:color w:val="4A4A4C"/>
          <w:spacing w:val="-9"/>
          <w:sz w:val="42"/>
        </w:rPr>
        <w:t>du </w:t>
      </w:r>
      <w:r>
        <w:rPr>
          <w:b/>
          <w:color w:val="4A4A4C"/>
          <w:sz w:val="42"/>
        </w:rPr>
        <w:t>personnel du campus</w:t>
      </w:r>
    </w:p>
    <w:p>
      <w:pPr>
        <w:spacing w:before="411"/>
        <w:ind w:left="130" w:right="0" w:firstLine="0"/>
        <w:jc w:val="left"/>
        <w:rPr>
          <w:b/>
          <w:sz w:val="28"/>
        </w:rPr>
      </w:pPr>
      <w:r>
        <w:rPr>
          <w:b/>
          <w:color w:val="4A4A4C"/>
          <w:sz w:val="28"/>
        </w:rPr>
        <w:t>Exemple de plan de formation pour le personnel du campus</w:t>
      </w: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140" w:bottom="280" w:left="1400" w:right="1540"/>
        </w:sectPr>
      </w:pPr>
    </w:p>
    <w:p>
      <w:pPr>
        <w:pStyle w:val="BodyText"/>
        <w:spacing w:before="0"/>
        <w:ind w:left="0" w:firstLine="0"/>
        <w:rPr>
          <w:b/>
          <w:sz w:val="22"/>
        </w:rPr>
      </w:pPr>
      <w:r>
        <w:rPr/>
        <w:pict>
          <v:group style="position:absolute;margin-left:0pt;margin-top:0pt;width:612pt;height:792pt;mso-position-horizontal-relative:page;mso-position-vertical-relative:page;z-index:-251742208" coordorigin="0,0" coordsize="12240,15840">
            <v:rect style="position:absolute;left:0;top:2617;width:12240;height:630" filled="true" fillcolor="#d7dbee" stroked="false">
              <v:fill type="solid"/>
            </v:rect>
            <v:line style="position:absolute" from="1,0" to="1,15840" stroked="true" strokeweight=".125pt" strokecolor="#4a4a4c">
              <v:stroke dashstyle="solid"/>
            </v:line>
            <w10:wrap type="none"/>
          </v:group>
        </w:pict>
      </w:r>
      <w:r>
        <w:rPr/>
        <w:pict>
          <v:rect style="position:absolute;margin-left:70.559998pt;margin-top:185.682007pt;width:475.2pt;height:511.818pt;mso-position-horizontal-relative:page;mso-position-vertical-relative:page;z-index:-251741184" filled="true" fillcolor="#eff0f8" stroked="false">
            <v:fill type="solid"/>
            <w10:wrap type="none"/>
          </v:rect>
        </w:pict>
      </w:r>
    </w:p>
    <w:p>
      <w:pPr>
        <w:pStyle w:val="Heading1"/>
      </w:pPr>
      <w:r>
        <w:rPr>
          <w:color w:val="1A5FAB"/>
        </w:rPr>
        <w:t>Qu'est-ce que le soutien par les pairs?</w:t>
      </w:r>
    </w:p>
    <w:p>
      <w:pPr>
        <w:pStyle w:val="ListParagraph"/>
        <w:numPr>
          <w:ilvl w:val="0"/>
          <w:numId w:val="1"/>
        </w:numPr>
        <w:tabs>
          <w:tab w:pos="690" w:val="left" w:leader="none"/>
        </w:tabs>
        <w:spacing w:line="240" w:lineRule="auto" w:before="107" w:after="0"/>
        <w:ind w:left="689" w:right="0" w:hanging="276"/>
        <w:jc w:val="left"/>
        <w:rPr>
          <w:sz w:val="19"/>
        </w:rPr>
      </w:pPr>
      <w:r>
        <w:rPr>
          <w:color w:val="4A4A4C"/>
          <w:sz w:val="19"/>
        </w:rPr>
        <w:t>Aperçu des services de soutien par les</w:t>
      </w:r>
      <w:r>
        <w:rPr>
          <w:color w:val="4A4A4C"/>
          <w:spacing w:val="14"/>
          <w:sz w:val="19"/>
        </w:rPr>
        <w:t> </w:t>
      </w:r>
      <w:r>
        <w:rPr>
          <w:color w:val="4A4A4C"/>
          <w:sz w:val="19"/>
        </w:rPr>
        <w:t>pairs</w:t>
      </w:r>
    </w:p>
    <w:p>
      <w:pPr>
        <w:pStyle w:val="BodyText"/>
        <w:spacing w:before="11"/>
        <w:ind w:left="0" w:firstLine="0"/>
        <w:rPr>
          <w:sz w:val="20"/>
        </w:rPr>
      </w:pPr>
    </w:p>
    <w:p>
      <w:pPr>
        <w:pStyle w:val="Heading1"/>
      </w:pPr>
      <w:r>
        <w:rPr>
          <w:color w:val="1A5FAB"/>
        </w:rPr>
        <w:t>Les valeurs du soutien par les pairs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307" w:lineRule="auto" w:before="105" w:after="0"/>
        <w:ind w:left="636" w:right="5" w:hanging="223"/>
        <w:jc w:val="left"/>
        <w:rPr>
          <w:sz w:val="19"/>
        </w:rPr>
      </w:pPr>
      <w:r>
        <w:rPr>
          <w:color w:val="4A4A4C"/>
          <w:sz w:val="19"/>
        </w:rPr>
        <w:t>Description des valeurs du soutien par les pairs telles que définies par la Commission </w:t>
      </w:r>
      <w:r>
        <w:rPr>
          <w:color w:val="4A4A4C"/>
          <w:spacing w:val="-9"/>
          <w:sz w:val="19"/>
        </w:rPr>
        <w:t>de </w:t>
      </w:r>
      <w:r>
        <w:rPr>
          <w:color w:val="4A4A4C"/>
          <w:sz w:val="19"/>
        </w:rPr>
        <w:t>la santé mentale du Canada et Peer Support Canada</w:t>
      </w:r>
    </w:p>
    <w:p>
      <w:pPr>
        <w:pStyle w:val="Heading1"/>
        <w:spacing w:line="264" w:lineRule="auto" w:before="141"/>
        <w:ind w:right="759"/>
      </w:pPr>
      <w:r>
        <w:rPr>
          <w:color w:val="1A5FAB"/>
        </w:rPr>
        <w:t>S'appuyer intentionnellement sur </w:t>
      </w:r>
      <w:r>
        <w:rPr>
          <w:color w:val="1A5FAB"/>
          <w:spacing w:val="-6"/>
        </w:rPr>
        <w:t>ses </w:t>
      </w:r>
      <w:r>
        <w:rPr>
          <w:color w:val="1A5FAB"/>
        </w:rPr>
        <w:t>expériences</w:t>
      </w:r>
      <w:r>
        <w:rPr>
          <w:color w:val="1A5FAB"/>
          <w:spacing w:val="-1"/>
        </w:rPr>
        <w:t> </w:t>
      </w:r>
      <w:r>
        <w:rPr>
          <w:color w:val="1A5FAB"/>
        </w:rPr>
        <w:t>personnelles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307" w:lineRule="auto" w:before="83" w:after="0"/>
        <w:ind w:left="636" w:right="142" w:hanging="223"/>
        <w:jc w:val="left"/>
        <w:rPr>
          <w:sz w:val="19"/>
        </w:rPr>
      </w:pPr>
      <w:r>
        <w:rPr>
          <w:color w:val="4A4A4C"/>
          <w:sz w:val="19"/>
        </w:rPr>
        <w:t>Description de la manière dont les pairs aidants s’appuient de façon responsable </w:t>
      </w:r>
      <w:r>
        <w:rPr>
          <w:color w:val="4A4A4C"/>
          <w:spacing w:val="-6"/>
          <w:sz w:val="19"/>
        </w:rPr>
        <w:t>sur </w:t>
      </w:r>
      <w:r>
        <w:rPr>
          <w:color w:val="4A4A4C"/>
          <w:sz w:val="19"/>
        </w:rPr>
        <w:t>leurs expériences</w:t>
      </w:r>
      <w:r>
        <w:rPr>
          <w:color w:val="4A4A4C"/>
          <w:spacing w:val="-1"/>
          <w:sz w:val="19"/>
        </w:rPr>
        <w:t> </w:t>
      </w:r>
      <w:r>
        <w:rPr>
          <w:color w:val="4A4A4C"/>
          <w:sz w:val="19"/>
        </w:rPr>
        <w:t>personnelles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307" w:lineRule="auto" w:before="1" w:after="0"/>
        <w:ind w:left="636" w:right="23" w:hanging="223"/>
        <w:jc w:val="left"/>
        <w:rPr>
          <w:sz w:val="19"/>
        </w:rPr>
      </w:pPr>
      <w:r>
        <w:rPr>
          <w:color w:val="4A4A4C"/>
          <w:sz w:val="19"/>
        </w:rPr>
        <w:t>Comment le fait de s’appuyer sur ses expériences personnelles favorise le </w:t>
      </w:r>
      <w:r>
        <w:rPr>
          <w:color w:val="4A4A4C"/>
          <w:spacing w:val="-3"/>
          <w:sz w:val="19"/>
        </w:rPr>
        <w:t>bien-être </w:t>
      </w:r>
      <w:r>
        <w:rPr>
          <w:color w:val="4A4A4C"/>
          <w:sz w:val="19"/>
        </w:rPr>
        <w:t>et la participation des</w:t>
      </w:r>
      <w:r>
        <w:rPr>
          <w:color w:val="4A4A4C"/>
          <w:spacing w:val="10"/>
          <w:sz w:val="19"/>
        </w:rPr>
        <w:t> </w:t>
      </w:r>
      <w:r>
        <w:rPr>
          <w:color w:val="4A4A4C"/>
          <w:sz w:val="19"/>
        </w:rPr>
        <w:t>participants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1" w:after="0"/>
        <w:ind w:left="636" w:right="0" w:hanging="223"/>
        <w:jc w:val="left"/>
        <w:rPr>
          <w:sz w:val="19"/>
        </w:rPr>
      </w:pPr>
      <w:r>
        <w:rPr>
          <w:color w:val="4A4A4C"/>
          <w:sz w:val="19"/>
        </w:rPr>
        <w:t>À quoi ressemble cette approche en</w:t>
      </w:r>
      <w:r>
        <w:rPr>
          <w:color w:val="4A4A4C"/>
          <w:spacing w:val="30"/>
          <w:sz w:val="19"/>
        </w:rPr>
        <w:t> </w:t>
      </w:r>
      <w:r>
        <w:rPr>
          <w:color w:val="4A4A4C"/>
          <w:sz w:val="19"/>
        </w:rPr>
        <w:t>pratique</w:t>
      </w:r>
    </w:p>
    <w:p>
      <w:pPr>
        <w:pStyle w:val="BodyText"/>
        <w:spacing w:before="6"/>
        <w:ind w:left="0" w:firstLine="0"/>
        <w:rPr>
          <w:sz w:val="17"/>
        </w:rPr>
      </w:pPr>
    </w:p>
    <w:p>
      <w:pPr>
        <w:pStyle w:val="Heading1"/>
        <w:spacing w:line="264" w:lineRule="auto" w:before="1"/>
      </w:pPr>
      <w:r>
        <w:rPr>
          <w:color w:val="1A5FAB"/>
        </w:rPr>
        <w:t>Avantages des services de soutien par les pairs sur les campus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82" w:after="0"/>
        <w:ind w:left="636" w:right="0" w:hanging="223"/>
        <w:jc w:val="left"/>
        <w:rPr>
          <w:sz w:val="19"/>
        </w:rPr>
      </w:pPr>
      <w:r>
        <w:rPr>
          <w:color w:val="4A4A4C"/>
          <w:sz w:val="19"/>
        </w:rPr>
        <w:t>Entraide entre</w:t>
      </w:r>
      <w:r>
        <w:rPr>
          <w:color w:val="4A4A4C"/>
          <w:spacing w:val="5"/>
          <w:sz w:val="19"/>
        </w:rPr>
        <w:t> </w:t>
      </w:r>
      <w:r>
        <w:rPr>
          <w:color w:val="4A4A4C"/>
          <w:sz w:val="19"/>
        </w:rPr>
        <w:t>étudiants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307" w:lineRule="auto" w:before="62" w:after="0"/>
        <w:ind w:left="636" w:right="863" w:hanging="223"/>
        <w:jc w:val="left"/>
        <w:rPr>
          <w:sz w:val="19"/>
        </w:rPr>
      </w:pPr>
      <w:r>
        <w:rPr>
          <w:color w:val="4A4A4C"/>
          <w:sz w:val="19"/>
        </w:rPr>
        <w:t>Un plus grand appui de la part de </w:t>
      </w:r>
      <w:r>
        <w:rPr>
          <w:color w:val="4A4A4C"/>
          <w:spacing w:val="-8"/>
          <w:sz w:val="19"/>
        </w:rPr>
        <w:t>la </w:t>
      </w:r>
      <w:r>
        <w:rPr>
          <w:color w:val="4A4A4C"/>
          <w:sz w:val="19"/>
        </w:rPr>
        <w:t>population</w:t>
      </w:r>
      <w:r>
        <w:rPr>
          <w:color w:val="4A4A4C"/>
          <w:spacing w:val="1"/>
          <w:sz w:val="19"/>
        </w:rPr>
        <w:t> </w:t>
      </w:r>
      <w:r>
        <w:rPr>
          <w:color w:val="4A4A4C"/>
          <w:sz w:val="19"/>
        </w:rPr>
        <w:t>étudiante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0" w:after="0"/>
        <w:ind w:left="636" w:right="0" w:hanging="223"/>
        <w:jc w:val="left"/>
        <w:rPr>
          <w:sz w:val="19"/>
        </w:rPr>
      </w:pPr>
      <w:r>
        <w:rPr>
          <w:color w:val="4A4A4C"/>
          <w:sz w:val="19"/>
        </w:rPr>
        <w:t>Capacité accrue à soutenir les</w:t>
      </w:r>
      <w:r>
        <w:rPr>
          <w:color w:val="4A4A4C"/>
          <w:spacing w:val="10"/>
          <w:sz w:val="19"/>
        </w:rPr>
        <w:t> </w:t>
      </w:r>
      <w:r>
        <w:rPr>
          <w:color w:val="4A4A4C"/>
          <w:sz w:val="19"/>
        </w:rPr>
        <w:t>étudiants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307" w:lineRule="auto" w:before="62" w:after="0"/>
        <w:ind w:left="636" w:right="1" w:hanging="223"/>
        <w:jc w:val="left"/>
        <w:rPr>
          <w:sz w:val="19"/>
        </w:rPr>
      </w:pPr>
      <w:r>
        <w:rPr>
          <w:color w:val="4A4A4C"/>
          <w:sz w:val="19"/>
        </w:rPr>
        <w:t>Accroissement de la satisfaction et du </w:t>
      </w:r>
      <w:r>
        <w:rPr>
          <w:color w:val="4A4A4C"/>
          <w:spacing w:val="-3"/>
          <w:sz w:val="19"/>
        </w:rPr>
        <w:t>soutien </w:t>
      </w:r>
      <w:r>
        <w:rPr>
          <w:color w:val="4A4A4C"/>
          <w:sz w:val="19"/>
        </w:rPr>
        <w:t>des étudiants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1" w:after="0"/>
        <w:ind w:left="636" w:right="0" w:hanging="223"/>
        <w:jc w:val="left"/>
        <w:rPr>
          <w:sz w:val="19"/>
        </w:rPr>
      </w:pPr>
      <w:r>
        <w:rPr>
          <w:color w:val="4A4A4C"/>
          <w:sz w:val="19"/>
        </w:rPr>
        <w:t>Possibilités d'éducation pour les</w:t>
      </w:r>
      <w:r>
        <w:rPr>
          <w:color w:val="4A4A4C"/>
          <w:spacing w:val="28"/>
          <w:sz w:val="19"/>
        </w:rPr>
        <w:t> </w:t>
      </w:r>
      <w:r>
        <w:rPr>
          <w:color w:val="4A4A4C"/>
          <w:sz w:val="19"/>
        </w:rPr>
        <w:t>étudiants</w:t>
      </w:r>
    </w:p>
    <w:p>
      <w:pPr>
        <w:pStyle w:val="BodyText"/>
        <w:spacing w:before="6"/>
        <w:ind w:left="0" w:firstLine="0"/>
        <w:rPr>
          <w:sz w:val="17"/>
        </w:rPr>
      </w:pPr>
    </w:p>
    <w:p>
      <w:pPr>
        <w:pStyle w:val="Heading1"/>
        <w:spacing w:line="264" w:lineRule="auto"/>
        <w:ind w:right="-2"/>
      </w:pPr>
      <w:r>
        <w:rPr>
          <w:color w:val="1A5FAB"/>
          <w:spacing w:val="-3"/>
        </w:rPr>
        <w:t>Avantages</w:t>
      </w:r>
      <w:r>
        <w:rPr>
          <w:color w:val="1A5FAB"/>
          <w:spacing w:val="-10"/>
        </w:rPr>
        <w:t> </w:t>
      </w:r>
      <w:r>
        <w:rPr>
          <w:color w:val="1A5FAB"/>
        </w:rPr>
        <w:t>d’un</w:t>
      </w:r>
      <w:r>
        <w:rPr>
          <w:color w:val="1A5FAB"/>
          <w:spacing w:val="-9"/>
        </w:rPr>
        <w:t> </w:t>
      </w:r>
      <w:r>
        <w:rPr>
          <w:color w:val="1A5FAB"/>
        </w:rPr>
        <w:t>partenariat</w:t>
      </w:r>
      <w:r>
        <w:rPr>
          <w:color w:val="1A5FAB"/>
          <w:spacing w:val="-9"/>
        </w:rPr>
        <w:t> </w:t>
      </w:r>
      <w:r>
        <w:rPr>
          <w:color w:val="1A5FAB"/>
        </w:rPr>
        <w:t>avec</w:t>
      </w:r>
      <w:r>
        <w:rPr>
          <w:color w:val="1A5FAB"/>
          <w:spacing w:val="-9"/>
        </w:rPr>
        <w:t> </w:t>
      </w:r>
      <w:r>
        <w:rPr>
          <w:color w:val="1A5FAB"/>
        </w:rPr>
        <w:t>un</w:t>
      </w:r>
      <w:r>
        <w:rPr>
          <w:color w:val="1A5FAB"/>
          <w:spacing w:val="-9"/>
        </w:rPr>
        <w:t> </w:t>
      </w:r>
      <w:r>
        <w:rPr>
          <w:color w:val="1A5FAB"/>
          <w:spacing w:val="-4"/>
        </w:rPr>
        <w:t>organisme </w:t>
      </w:r>
      <w:r>
        <w:rPr>
          <w:color w:val="1A5FAB"/>
          <w:spacing w:val="-3"/>
        </w:rPr>
        <w:t>communautaire </w:t>
      </w:r>
      <w:r>
        <w:rPr>
          <w:color w:val="1A5FAB"/>
        </w:rPr>
        <w:t>de soutien par les</w:t>
      </w:r>
      <w:r>
        <w:rPr>
          <w:color w:val="1A5FAB"/>
          <w:spacing w:val="-23"/>
        </w:rPr>
        <w:t> </w:t>
      </w:r>
      <w:r>
        <w:rPr>
          <w:color w:val="1A5FAB"/>
        </w:rPr>
        <w:t>pairs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82" w:after="0"/>
        <w:ind w:left="636" w:right="0" w:hanging="223"/>
        <w:jc w:val="left"/>
        <w:rPr>
          <w:sz w:val="19"/>
        </w:rPr>
      </w:pPr>
      <w:r>
        <w:rPr>
          <w:color w:val="4A4A4C"/>
          <w:sz w:val="19"/>
        </w:rPr>
        <w:t>Expertise de l’organisme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62" w:after="0"/>
        <w:ind w:left="636" w:right="0" w:hanging="223"/>
        <w:jc w:val="left"/>
        <w:rPr>
          <w:sz w:val="19"/>
        </w:rPr>
      </w:pPr>
      <w:r>
        <w:rPr>
          <w:color w:val="4A4A4C"/>
          <w:sz w:val="19"/>
        </w:rPr>
        <w:t>Partage des</w:t>
      </w:r>
      <w:r>
        <w:rPr>
          <w:color w:val="4A4A4C"/>
          <w:spacing w:val="-1"/>
          <w:sz w:val="19"/>
        </w:rPr>
        <w:t> </w:t>
      </w:r>
      <w:r>
        <w:rPr>
          <w:color w:val="4A4A4C"/>
          <w:sz w:val="19"/>
        </w:rPr>
        <w:t>ressources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307" w:lineRule="auto" w:before="62" w:after="0"/>
        <w:ind w:left="636" w:right="578" w:hanging="223"/>
        <w:jc w:val="left"/>
        <w:rPr>
          <w:sz w:val="19"/>
        </w:rPr>
      </w:pPr>
      <w:r>
        <w:rPr>
          <w:color w:val="4A4A4C"/>
          <w:sz w:val="19"/>
        </w:rPr>
        <w:t>Accès à de la formation continu et à </w:t>
      </w:r>
      <w:r>
        <w:rPr>
          <w:color w:val="4A4A4C"/>
          <w:spacing w:val="-8"/>
          <w:sz w:val="19"/>
        </w:rPr>
        <w:t>du </w:t>
      </w:r>
      <w:r>
        <w:rPr>
          <w:color w:val="4A4A4C"/>
          <w:sz w:val="19"/>
        </w:rPr>
        <w:t>soutien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0" w:after="0"/>
        <w:ind w:left="636" w:right="0" w:hanging="223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251660288" from="75.599998pt,63.409988pt" to="536.399998pt,63.409988pt" stroked="true" strokeweight=".25pt" strokecolor="#404040">
            <v:stroke dashstyle="solid"/>
            <w10:wrap type="none"/>
          </v:line>
        </w:pict>
      </w:r>
      <w:r>
        <w:rPr>
          <w:color w:val="4A4A4C"/>
          <w:sz w:val="19"/>
        </w:rPr>
        <w:t>Lien aux ressources communautaires</w:t>
      </w:r>
    </w:p>
    <w:p>
      <w:pPr>
        <w:pStyle w:val="BodyText"/>
        <w:ind w:left="0" w:firstLin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1"/>
        <w:spacing w:line="264" w:lineRule="auto"/>
        <w:ind w:right="251"/>
      </w:pPr>
      <w:r>
        <w:rPr>
          <w:color w:val="1A5FAB"/>
        </w:rPr>
        <w:t>À quoi ressemblera le soutien par les pairs sur le campus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307" w:lineRule="auto" w:before="83" w:after="0"/>
        <w:ind w:left="636" w:right="356" w:hanging="223"/>
        <w:jc w:val="left"/>
        <w:rPr>
          <w:sz w:val="19"/>
        </w:rPr>
      </w:pPr>
      <w:r>
        <w:rPr>
          <w:color w:val="4A4A4C"/>
          <w:sz w:val="19"/>
        </w:rPr>
        <w:t>Nombre prévu d'étudiants qui utiliseront </w:t>
      </w:r>
      <w:r>
        <w:rPr>
          <w:color w:val="4A4A4C"/>
          <w:spacing w:val="-5"/>
          <w:sz w:val="19"/>
        </w:rPr>
        <w:t>les </w:t>
      </w:r>
      <w:r>
        <w:rPr>
          <w:color w:val="4A4A4C"/>
          <w:sz w:val="19"/>
        </w:rPr>
        <w:t>services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1" w:after="0"/>
        <w:ind w:left="636" w:right="0" w:hanging="223"/>
        <w:jc w:val="left"/>
        <w:rPr>
          <w:sz w:val="19"/>
        </w:rPr>
      </w:pPr>
      <w:r>
        <w:rPr>
          <w:color w:val="4A4A4C"/>
          <w:sz w:val="19"/>
        </w:rPr>
        <w:t>Prise de notes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61" w:after="0"/>
        <w:ind w:left="636" w:right="0" w:hanging="223"/>
        <w:jc w:val="left"/>
        <w:rPr>
          <w:sz w:val="19"/>
        </w:rPr>
      </w:pPr>
      <w:r>
        <w:rPr>
          <w:color w:val="4A4A4C"/>
          <w:sz w:val="19"/>
        </w:rPr>
        <w:t>Supervision des pairs</w:t>
      </w:r>
      <w:r>
        <w:rPr>
          <w:color w:val="4A4A4C"/>
          <w:spacing w:val="1"/>
          <w:sz w:val="19"/>
        </w:rPr>
        <w:t> </w:t>
      </w:r>
      <w:r>
        <w:rPr>
          <w:color w:val="4A4A4C"/>
          <w:sz w:val="19"/>
        </w:rPr>
        <w:t>aidants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62" w:after="0"/>
        <w:ind w:left="636" w:right="0" w:hanging="223"/>
        <w:jc w:val="left"/>
        <w:rPr>
          <w:sz w:val="19"/>
        </w:rPr>
      </w:pPr>
      <w:r>
        <w:rPr>
          <w:color w:val="4A4A4C"/>
          <w:sz w:val="19"/>
        </w:rPr>
        <w:t>Conférences de cas avec des pairs</w:t>
      </w:r>
      <w:r>
        <w:rPr>
          <w:color w:val="4A4A4C"/>
          <w:spacing w:val="8"/>
          <w:sz w:val="19"/>
        </w:rPr>
        <w:t> </w:t>
      </w:r>
      <w:r>
        <w:rPr>
          <w:color w:val="4A4A4C"/>
          <w:sz w:val="19"/>
        </w:rPr>
        <w:t>aidants</w:t>
      </w:r>
    </w:p>
    <w:p>
      <w:pPr>
        <w:pStyle w:val="BodyText"/>
        <w:spacing w:before="6"/>
        <w:ind w:left="0" w:firstLine="0"/>
        <w:rPr>
          <w:sz w:val="17"/>
        </w:rPr>
      </w:pPr>
    </w:p>
    <w:p>
      <w:pPr>
        <w:pStyle w:val="Heading1"/>
        <w:spacing w:line="264" w:lineRule="auto"/>
        <w:ind w:right="251"/>
      </w:pPr>
      <w:r>
        <w:rPr>
          <w:color w:val="1A5FAB"/>
        </w:rPr>
        <w:t>Comment le soutien par les pairs s'intégrera aux services du campus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82" w:after="0"/>
        <w:ind w:left="636" w:right="0" w:hanging="223"/>
        <w:jc w:val="left"/>
        <w:rPr>
          <w:sz w:val="19"/>
        </w:rPr>
      </w:pPr>
      <w:r>
        <w:rPr>
          <w:color w:val="4A4A4C"/>
          <w:sz w:val="19"/>
        </w:rPr>
        <w:t>Aperçu du modèle de soins par</w:t>
      </w:r>
      <w:r>
        <w:rPr>
          <w:color w:val="4A4A4C"/>
          <w:spacing w:val="7"/>
          <w:sz w:val="19"/>
        </w:rPr>
        <w:t> </w:t>
      </w:r>
      <w:r>
        <w:rPr>
          <w:color w:val="4A4A4C"/>
          <w:sz w:val="19"/>
        </w:rPr>
        <w:t>paliers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307" w:lineRule="auto" w:before="62" w:after="0"/>
        <w:ind w:left="636" w:right="204" w:hanging="223"/>
        <w:jc w:val="left"/>
        <w:rPr>
          <w:sz w:val="19"/>
        </w:rPr>
      </w:pPr>
      <w:r>
        <w:rPr>
          <w:color w:val="4A4A4C"/>
          <w:sz w:val="19"/>
        </w:rPr>
        <w:t>Exemple de cheminement d’un étudiant </w:t>
      </w:r>
      <w:r>
        <w:rPr>
          <w:color w:val="4A4A4C"/>
          <w:spacing w:val="-4"/>
          <w:sz w:val="19"/>
        </w:rPr>
        <w:t>dans </w:t>
      </w:r>
      <w:r>
        <w:rPr>
          <w:color w:val="4A4A4C"/>
          <w:sz w:val="19"/>
        </w:rPr>
        <w:t>les services de santé et de</w:t>
      </w:r>
      <w:r>
        <w:rPr>
          <w:color w:val="4A4A4C"/>
          <w:spacing w:val="4"/>
          <w:sz w:val="19"/>
        </w:rPr>
        <w:t> </w:t>
      </w:r>
      <w:r>
        <w:rPr>
          <w:color w:val="4A4A4C"/>
          <w:sz w:val="19"/>
        </w:rPr>
        <w:t>bien-être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307" w:lineRule="auto" w:before="1" w:after="0"/>
        <w:ind w:left="636" w:right="490" w:hanging="223"/>
        <w:jc w:val="left"/>
        <w:rPr>
          <w:sz w:val="19"/>
        </w:rPr>
      </w:pPr>
      <w:r>
        <w:rPr>
          <w:color w:val="4A4A4C"/>
          <w:sz w:val="19"/>
        </w:rPr>
        <w:t>Engagement accru dans d'autres services soutenus par le soutien des</w:t>
      </w:r>
      <w:r>
        <w:rPr>
          <w:color w:val="4A4A4C"/>
          <w:spacing w:val="5"/>
          <w:sz w:val="19"/>
        </w:rPr>
        <w:t> </w:t>
      </w:r>
      <w:r>
        <w:rPr>
          <w:color w:val="4A4A4C"/>
          <w:sz w:val="19"/>
        </w:rPr>
        <w:t>pairs</w:t>
      </w:r>
    </w:p>
    <w:p>
      <w:pPr>
        <w:pStyle w:val="Heading1"/>
        <w:spacing w:line="264" w:lineRule="auto" w:before="141"/>
        <w:ind w:right="251"/>
      </w:pPr>
      <w:r>
        <w:rPr>
          <w:color w:val="1A5FAB"/>
        </w:rPr>
        <w:t>Quels sont les étudiants pouvant bénéficier du soutien par les pairs?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307" w:lineRule="auto" w:before="82" w:after="0"/>
        <w:ind w:left="636" w:right="827" w:hanging="223"/>
        <w:jc w:val="left"/>
        <w:rPr>
          <w:sz w:val="19"/>
        </w:rPr>
      </w:pPr>
      <w:r>
        <w:rPr>
          <w:color w:val="4A4A4C"/>
          <w:sz w:val="19"/>
        </w:rPr>
        <w:t>Des étudiants éprouvant un sentiment d'isolement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307" w:lineRule="auto" w:before="1" w:after="0"/>
        <w:ind w:left="636" w:right="486" w:hanging="223"/>
        <w:jc w:val="left"/>
        <w:rPr>
          <w:sz w:val="19"/>
        </w:rPr>
      </w:pPr>
      <w:r>
        <w:rPr>
          <w:color w:val="4A4A4C"/>
          <w:sz w:val="19"/>
        </w:rPr>
        <w:t>Des étudiants à la recherche de stratégies d’adaptation pratiques pour faire</w:t>
      </w:r>
      <w:r>
        <w:rPr>
          <w:color w:val="4A4A4C"/>
          <w:spacing w:val="20"/>
          <w:sz w:val="19"/>
        </w:rPr>
        <w:t> </w:t>
      </w:r>
      <w:r>
        <w:rPr>
          <w:color w:val="4A4A4C"/>
          <w:sz w:val="19"/>
        </w:rPr>
        <w:t>face</w:t>
      </w:r>
    </w:p>
    <w:p>
      <w:pPr>
        <w:pStyle w:val="BodyText"/>
        <w:ind w:firstLine="0"/>
      </w:pPr>
      <w:r>
        <w:rPr>
          <w:color w:val="4A4A4C"/>
        </w:rPr>
        <w:t>aux</w:t>
      </w:r>
      <w:r>
        <w:rPr>
          <w:color w:val="4A4A4C"/>
          <w:spacing w:val="6"/>
        </w:rPr>
        <w:t> </w:t>
      </w:r>
      <w:r>
        <w:rPr>
          <w:color w:val="4A4A4C"/>
        </w:rPr>
        <w:t>défis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307" w:lineRule="auto" w:before="61" w:after="0"/>
        <w:ind w:left="636" w:right="342" w:hanging="223"/>
        <w:jc w:val="left"/>
        <w:rPr>
          <w:sz w:val="19"/>
        </w:rPr>
      </w:pPr>
      <w:r>
        <w:rPr>
          <w:color w:val="4A4A4C"/>
          <w:sz w:val="19"/>
        </w:rPr>
        <w:t>Des étudiants souhaitant un soutien pour accéder à d’autres types de services</w:t>
      </w:r>
      <w:r>
        <w:rPr>
          <w:color w:val="4A4A4C"/>
          <w:spacing w:val="52"/>
          <w:sz w:val="19"/>
        </w:rPr>
        <w:t> </w:t>
      </w:r>
      <w:r>
        <w:rPr>
          <w:color w:val="4A4A4C"/>
          <w:spacing w:val="-4"/>
          <w:sz w:val="19"/>
        </w:rPr>
        <w:t>offerts</w:t>
      </w:r>
    </w:p>
    <w:p>
      <w:pPr>
        <w:pStyle w:val="Heading1"/>
        <w:spacing w:before="181"/>
      </w:pPr>
      <w:r>
        <w:rPr>
          <w:color w:val="1A5FAB"/>
        </w:rPr>
        <w:t>Travailler avec les pairs aidants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240" w:lineRule="auto" w:before="105" w:after="0"/>
        <w:ind w:left="636" w:right="0" w:hanging="223"/>
        <w:jc w:val="left"/>
        <w:rPr>
          <w:sz w:val="19"/>
        </w:rPr>
      </w:pPr>
      <w:r>
        <w:rPr>
          <w:color w:val="4A4A4C"/>
          <w:sz w:val="19"/>
        </w:rPr>
        <w:t>Les membres de l'équipe de</w:t>
      </w:r>
      <w:r>
        <w:rPr>
          <w:color w:val="4A4A4C"/>
          <w:spacing w:val="6"/>
          <w:sz w:val="19"/>
        </w:rPr>
        <w:t> </w:t>
      </w:r>
      <w:r>
        <w:rPr>
          <w:color w:val="4A4A4C"/>
          <w:sz w:val="19"/>
        </w:rPr>
        <w:t>soins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307" w:lineRule="auto" w:before="61" w:after="0"/>
        <w:ind w:left="636" w:right="177" w:hanging="223"/>
        <w:jc w:val="left"/>
        <w:rPr>
          <w:sz w:val="19"/>
        </w:rPr>
      </w:pPr>
      <w:r>
        <w:rPr>
          <w:color w:val="4A4A4C"/>
          <w:sz w:val="19"/>
        </w:rPr>
        <w:t>S'abstenir de poser des questions </w:t>
      </w:r>
      <w:r>
        <w:rPr>
          <w:color w:val="4A4A4C"/>
          <w:spacing w:val="-3"/>
          <w:sz w:val="19"/>
        </w:rPr>
        <w:t>indiscrètes </w:t>
      </w:r>
      <w:r>
        <w:rPr>
          <w:color w:val="4A4A4C"/>
          <w:sz w:val="19"/>
        </w:rPr>
        <w:t>sur des expériences personnelles</w:t>
      </w:r>
    </w:p>
    <w:p>
      <w:pPr>
        <w:pStyle w:val="ListParagraph"/>
        <w:numPr>
          <w:ilvl w:val="0"/>
          <w:numId w:val="1"/>
        </w:numPr>
        <w:tabs>
          <w:tab w:pos="637" w:val="left" w:leader="none"/>
        </w:tabs>
        <w:spacing w:line="307" w:lineRule="auto" w:before="1" w:after="0"/>
        <w:ind w:left="636" w:right="114" w:hanging="223"/>
        <w:jc w:val="left"/>
        <w:rPr>
          <w:sz w:val="19"/>
        </w:rPr>
      </w:pPr>
      <w:r>
        <w:rPr>
          <w:color w:val="4A4A4C"/>
          <w:sz w:val="19"/>
        </w:rPr>
        <w:t>Partager l'espace pour que les pairs aidants puissent offrir leurs idées et leurs</w:t>
      </w:r>
      <w:r>
        <w:rPr>
          <w:color w:val="4A4A4C"/>
          <w:spacing w:val="34"/>
          <w:sz w:val="19"/>
        </w:rPr>
        <w:t> </w:t>
      </w:r>
      <w:r>
        <w:rPr>
          <w:color w:val="4A4A4C"/>
          <w:spacing w:val="-2"/>
          <w:sz w:val="19"/>
        </w:rPr>
        <w:t>perspectives</w:t>
      </w:r>
    </w:p>
    <w:sectPr>
      <w:type w:val="continuous"/>
      <w:pgSz w:w="12240" w:h="15840"/>
      <w:pgMar w:top="1140" w:bottom="280" w:left="1400" w:right="1540"/>
      <w:cols w:num="2" w:equalWidth="0">
        <w:col w:w="4547" w:space="63"/>
        <w:col w:w="46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 2">
    <w:altName w:val="Wingdings 2"/>
    <w:charset w:val="0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"/>
      <w:lvlJc w:val="left"/>
      <w:pPr>
        <w:ind w:left="636" w:hanging="275"/>
      </w:pPr>
      <w:rPr>
        <w:rFonts w:hint="default" w:ascii="Wingdings 2" w:hAnsi="Wingdings 2" w:eastAsia="Wingdings 2" w:cs="Wingdings 2"/>
        <w:color w:val="4A4A4C"/>
        <w:w w:val="100"/>
        <w:sz w:val="19"/>
        <w:szCs w:val="19"/>
      </w:rPr>
    </w:lvl>
    <w:lvl w:ilvl="1">
      <w:start w:val="0"/>
      <w:numFmt w:val="bullet"/>
      <w:lvlText w:val="•"/>
      <w:lvlJc w:val="left"/>
      <w:pPr>
        <w:ind w:left="1030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1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1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2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3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3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74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65" w:hanging="2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"/>
      <w:ind w:left="636" w:hanging="223"/>
    </w:pPr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414"/>
      <w:outlineLvl w:val="1"/>
    </w:pPr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1"/>
      <w:ind w:left="636" w:hanging="22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2020-03-16T19:42:01Z</dcterms:created>
  <dcterms:modified xsi:type="dcterms:W3CDTF">2020-03-16T19:42:01Z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2020-03-16T00:00:00Z</vt:filetime>
  </property>
</Properties>
</file>